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0A14" w14:textId="51DCC91C" w:rsidR="004D2779" w:rsidRDefault="004D2779">
      <w:r>
        <w:t>Enna, 08/06/2021</w:t>
      </w:r>
      <w:bookmarkStart w:id="0" w:name="_GoBack"/>
      <w:bookmarkEnd w:id="0"/>
    </w:p>
    <w:p w14:paraId="66516E4A" w14:textId="3DFA8561" w:rsidR="00CE18F5" w:rsidRDefault="00CE18F5" w:rsidP="004D2779">
      <w:pPr>
        <w:jc w:val="center"/>
        <w:rPr>
          <w:b/>
          <w:bCs/>
          <w:sz w:val="28"/>
          <w:szCs w:val="28"/>
        </w:rPr>
      </w:pPr>
      <w:r w:rsidRPr="004D2779">
        <w:rPr>
          <w:b/>
          <w:bCs/>
          <w:sz w:val="28"/>
          <w:szCs w:val="28"/>
        </w:rPr>
        <w:t xml:space="preserve">COMUNICATO STAMPA </w:t>
      </w:r>
      <w:r w:rsidR="004D2779" w:rsidRPr="004D2779">
        <w:rPr>
          <w:b/>
          <w:bCs/>
          <w:sz w:val="28"/>
          <w:szCs w:val="28"/>
        </w:rPr>
        <w:t>UNITARIO</w:t>
      </w:r>
    </w:p>
    <w:p w14:paraId="6742033E" w14:textId="77777777" w:rsidR="004D2779" w:rsidRDefault="004D2779" w:rsidP="004D277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D2779">
        <w:rPr>
          <w:rFonts w:ascii="Arial" w:hAnsi="Arial" w:cs="Arial"/>
          <w:b/>
          <w:bCs/>
          <w:sz w:val="26"/>
          <w:szCs w:val="26"/>
        </w:rPr>
        <w:t>LA SCUOLA PROTESTA</w:t>
      </w:r>
    </w:p>
    <w:p w14:paraId="6C97A8E0" w14:textId="30C095DD" w:rsidR="00CE18F5" w:rsidRPr="004D2779" w:rsidRDefault="004D2779" w:rsidP="004D2779">
      <w:pPr>
        <w:jc w:val="center"/>
        <w:rPr>
          <w:b/>
          <w:bCs/>
        </w:rPr>
      </w:pPr>
      <w:r w:rsidRPr="004D2779">
        <w:rPr>
          <w:rFonts w:ascii="Arial" w:hAnsi="Arial" w:cs="Arial"/>
          <w:b/>
          <w:bCs/>
          <w:sz w:val="26"/>
          <w:szCs w:val="26"/>
        </w:rPr>
        <w:t>ADEGUARE IL DECRETO “Sostegni bis” AL PATTO PER LA SCUOLA</w:t>
      </w:r>
    </w:p>
    <w:p w14:paraId="33C1D2B3" w14:textId="5E9AFE84" w:rsidR="004D2779" w:rsidRPr="004D2779" w:rsidRDefault="00CE18F5" w:rsidP="004D2779">
      <w:pPr>
        <w:jc w:val="both"/>
        <w:rPr>
          <w:sz w:val="24"/>
          <w:szCs w:val="24"/>
        </w:rPr>
      </w:pPr>
      <w:r w:rsidRPr="004D2779">
        <w:rPr>
          <w:rFonts w:cstheme="minorHAnsi"/>
          <w:sz w:val="24"/>
          <w:szCs w:val="24"/>
        </w:rPr>
        <w:t>Dopo avere sottoscritto</w:t>
      </w:r>
      <w:r w:rsidR="00185000" w:rsidRPr="004D2779">
        <w:rPr>
          <w:rFonts w:cstheme="minorHAnsi"/>
          <w:sz w:val="24"/>
          <w:szCs w:val="24"/>
        </w:rPr>
        <w:t>,</w:t>
      </w:r>
      <w:r w:rsidRPr="004D2779">
        <w:rPr>
          <w:rFonts w:cstheme="minorHAnsi"/>
          <w:sz w:val="24"/>
          <w:szCs w:val="24"/>
        </w:rPr>
        <w:t xml:space="preserve"> </w:t>
      </w:r>
      <w:r w:rsidR="00185000" w:rsidRPr="004D2779">
        <w:rPr>
          <w:rFonts w:cstheme="minorHAnsi"/>
          <w:sz w:val="24"/>
          <w:szCs w:val="24"/>
        </w:rPr>
        <w:t xml:space="preserve">il 20 maggio u.s., con le parti sociali </w:t>
      </w:r>
      <w:r w:rsidR="00B07402" w:rsidRPr="004D2779">
        <w:rPr>
          <w:rFonts w:cstheme="minorHAnsi"/>
          <w:sz w:val="24"/>
          <w:szCs w:val="24"/>
        </w:rPr>
        <w:t xml:space="preserve">il </w:t>
      </w:r>
      <w:r w:rsidR="00185000" w:rsidRPr="004D2779">
        <w:rPr>
          <w:rFonts w:cstheme="minorHAnsi"/>
          <w:sz w:val="24"/>
          <w:szCs w:val="24"/>
        </w:rPr>
        <w:t xml:space="preserve">cd </w:t>
      </w:r>
      <w:r w:rsidRPr="004D2779">
        <w:rPr>
          <w:rFonts w:cstheme="minorHAnsi"/>
          <w:sz w:val="24"/>
          <w:szCs w:val="24"/>
        </w:rPr>
        <w:t>“</w:t>
      </w:r>
      <w:r w:rsidR="00185000" w:rsidRPr="004D2779">
        <w:rPr>
          <w:rFonts w:cstheme="minorHAnsi"/>
          <w:sz w:val="24"/>
          <w:szCs w:val="24"/>
        </w:rPr>
        <w:t>Patto per la scuola al centro del Paese</w:t>
      </w:r>
      <w:r w:rsidRPr="004D2779">
        <w:rPr>
          <w:rFonts w:cstheme="minorHAnsi"/>
          <w:sz w:val="24"/>
          <w:szCs w:val="24"/>
        </w:rPr>
        <w:t xml:space="preserve">” </w:t>
      </w:r>
      <w:r w:rsidR="00185000" w:rsidRPr="004D2779">
        <w:rPr>
          <w:rFonts w:cstheme="minorHAnsi"/>
          <w:sz w:val="24"/>
          <w:szCs w:val="24"/>
        </w:rPr>
        <w:t xml:space="preserve">il </w:t>
      </w:r>
      <w:r w:rsidR="00B07402" w:rsidRPr="004D2779">
        <w:rPr>
          <w:rFonts w:cstheme="minorHAnsi"/>
          <w:sz w:val="24"/>
          <w:szCs w:val="24"/>
        </w:rPr>
        <w:t xml:space="preserve">Governo </w:t>
      </w:r>
      <w:r w:rsidR="00F76AA3" w:rsidRPr="004D2779">
        <w:rPr>
          <w:rFonts w:cstheme="minorHAnsi"/>
          <w:sz w:val="24"/>
          <w:szCs w:val="24"/>
        </w:rPr>
        <w:t xml:space="preserve">interviene col Decreto sostegni, in discussione alla Camera dei Deputati, su alcuni punti </w:t>
      </w:r>
      <w:r w:rsidR="004D2779" w:rsidRPr="004D2779">
        <w:rPr>
          <w:rFonts w:cstheme="minorHAnsi"/>
          <w:sz w:val="24"/>
          <w:szCs w:val="24"/>
        </w:rPr>
        <w:t xml:space="preserve">e </w:t>
      </w:r>
      <w:r w:rsidR="00F76AA3" w:rsidRPr="004D2779">
        <w:rPr>
          <w:rFonts w:cstheme="minorHAnsi"/>
          <w:sz w:val="24"/>
          <w:szCs w:val="24"/>
        </w:rPr>
        <w:t>senza nessun confronto invadendo anche il campo della Contrattazione. Ciò è inaccettabile e profondamente biasimabile</w:t>
      </w:r>
      <w:r w:rsidR="004D2779" w:rsidRPr="004D2779">
        <w:rPr>
          <w:rFonts w:cstheme="minorHAnsi"/>
          <w:sz w:val="24"/>
          <w:szCs w:val="24"/>
        </w:rPr>
        <w:t xml:space="preserve"> e disattende ogni accordo preso manifestando scarsa conoscenza dei reali problemi della scuola e poca considerazione per tutto il personale, docente e ATA. Il</w:t>
      </w:r>
      <w:r w:rsidR="004D2779" w:rsidRPr="004D2779">
        <w:rPr>
          <w:sz w:val="24"/>
          <w:szCs w:val="24"/>
        </w:rPr>
        <w:t xml:space="preserve"> rischio è che si ripeta ciò che quest’anno non sarebbe mai dovuto accadere, cioè una marea di posti scoperti e destinati a rimanere tali per settimane e per mesi.</w:t>
      </w:r>
    </w:p>
    <w:p w14:paraId="5783564D" w14:textId="5D1BDC02" w:rsidR="00DC00F9" w:rsidRPr="004D2779" w:rsidRDefault="00DC00F9" w:rsidP="0018719A">
      <w:pPr>
        <w:pStyle w:val="NormaleWeb"/>
        <w:jc w:val="both"/>
        <w:rPr>
          <w:rFonts w:asciiTheme="minorHAnsi" w:hAnsiTheme="minorHAnsi" w:cstheme="minorHAnsi"/>
        </w:rPr>
      </w:pPr>
      <w:r w:rsidRPr="004D2779">
        <w:rPr>
          <w:rFonts w:asciiTheme="minorHAnsi" w:hAnsiTheme="minorHAnsi" w:cstheme="minorHAnsi"/>
        </w:rPr>
        <w:t xml:space="preserve">Un altro aspetto del tutto irricevibile riguarda la decisione del Ministero che prevede di imporre ai docenti le attività di recupero facendole rientrare nell’attività ordinaria non prevedendo alcuna remunerazione, riproponendo quanto </w:t>
      </w:r>
      <w:r w:rsidR="00F2213A" w:rsidRPr="004D2779">
        <w:rPr>
          <w:rFonts w:asciiTheme="minorHAnsi" w:hAnsiTheme="minorHAnsi" w:cstheme="minorHAnsi"/>
        </w:rPr>
        <w:t xml:space="preserve">successo lo scorso anno su PIA e PAI e, comunque, in contraddizione con quanto definito dal Piano Estate 2021 che demanda </w:t>
      </w:r>
      <w:r w:rsidR="00F2213A" w:rsidRPr="00C405C3">
        <w:rPr>
          <w:rFonts w:asciiTheme="minorHAnsi" w:hAnsiTheme="minorHAnsi" w:cstheme="minorHAnsi"/>
        </w:rPr>
        <w:t>alla capacità ed alla responsabilità progettuale delle scuole ogni intervento in materia didattica.</w:t>
      </w:r>
      <w:r w:rsidR="00F2213A" w:rsidRPr="004D2779">
        <w:rPr>
          <w:rFonts w:asciiTheme="minorHAnsi" w:hAnsiTheme="minorHAnsi" w:cstheme="minorHAnsi"/>
        </w:rPr>
        <w:t xml:space="preserve"> </w:t>
      </w:r>
    </w:p>
    <w:p w14:paraId="3415481F" w14:textId="0D706116" w:rsidR="00F2213A" w:rsidRPr="004D2779" w:rsidRDefault="00F2213A" w:rsidP="0018719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D2779">
        <w:rPr>
          <w:rFonts w:eastAsia="Times New Roman" w:cstheme="minorHAnsi"/>
          <w:sz w:val="24"/>
          <w:szCs w:val="24"/>
          <w:lang w:eastAsia="it-IT"/>
        </w:rPr>
        <w:t xml:space="preserve">Per quanto riguarda i temi dei precari e del reclutamento, quanto previsto dal DL va corretto partendo dalla </w:t>
      </w:r>
      <w:r w:rsidRPr="00C405C3">
        <w:rPr>
          <w:rFonts w:eastAsia="Times New Roman" w:cstheme="minorHAnsi"/>
          <w:sz w:val="24"/>
          <w:szCs w:val="24"/>
          <w:lang w:eastAsia="it-IT"/>
        </w:rPr>
        <w:t>cancellazione del requisito dei tre anni di servizio per le assunzioni dalla prima fascia fino all’inserimento della seconda fascia GPS per realizzare le assunzioni stesse</w:t>
      </w:r>
      <w:r w:rsidR="004D2779" w:rsidRPr="004D2779">
        <w:rPr>
          <w:rFonts w:eastAsia="Times New Roman" w:cstheme="minorHAnsi"/>
          <w:sz w:val="24"/>
          <w:szCs w:val="24"/>
          <w:lang w:eastAsia="it-IT"/>
        </w:rPr>
        <w:t xml:space="preserve"> su tutti i posti disponibili in organico</w:t>
      </w:r>
      <w:r w:rsidRPr="00C405C3">
        <w:rPr>
          <w:rFonts w:eastAsia="Times New Roman" w:cstheme="minorHAnsi"/>
          <w:sz w:val="24"/>
          <w:szCs w:val="24"/>
          <w:lang w:eastAsia="it-IT"/>
        </w:rPr>
        <w:t xml:space="preserve">. Sul concorso ordinario non è condivisibile la misura che vieta di ritentare il successivo concorso in caso di bocciatura, così come è discutibile la differenziazione tra </w:t>
      </w:r>
      <w:r w:rsidR="004D2779" w:rsidRPr="004D2779">
        <w:rPr>
          <w:rFonts w:eastAsia="Times New Roman" w:cstheme="minorHAnsi"/>
          <w:sz w:val="24"/>
          <w:szCs w:val="24"/>
          <w:lang w:eastAsia="it-IT"/>
        </w:rPr>
        <w:t xml:space="preserve">le </w:t>
      </w:r>
      <w:r w:rsidRPr="00C405C3">
        <w:rPr>
          <w:rFonts w:eastAsia="Times New Roman" w:cstheme="minorHAnsi"/>
          <w:sz w:val="24"/>
          <w:szCs w:val="24"/>
          <w:lang w:eastAsia="it-IT"/>
        </w:rPr>
        <w:t xml:space="preserve">discipline STEM </w:t>
      </w:r>
      <w:r w:rsidR="004D2779" w:rsidRPr="004D2779">
        <w:rPr>
          <w:rFonts w:eastAsia="Times New Roman" w:cstheme="minorHAnsi"/>
          <w:sz w:val="24"/>
          <w:szCs w:val="24"/>
          <w:lang w:eastAsia="it-IT"/>
        </w:rPr>
        <w:t xml:space="preserve">(materie scientifiche) </w:t>
      </w:r>
      <w:r w:rsidRPr="00C405C3">
        <w:rPr>
          <w:rFonts w:eastAsia="Times New Roman" w:cstheme="minorHAnsi"/>
          <w:sz w:val="24"/>
          <w:szCs w:val="24"/>
          <w:lang w:eastAsia="it-IT"/>
        </w:rPr>
        <w:t xml:space="preserve">e </w:t>
      </w:r>
      <w:r w:rsidR="004D2779" w:rsidRPr="004D2779">
        <w:rPr>
          <w:rFonts w:eastAsia="Times New Roman" w:cstheme="minorHAnsi"/>
          <w:sz w:val="24"/>
          <w:szCs w:val="24"/>
          <w:lang w:eastAsia="it-IT"/>
        </w:rPr>
        <w:t xml:space="preserve">le </w:t>
      </w:r>
      <w:r w:rsidRPr="00C405C3">
        <w:rPr>
          <w:rFonts w:eastAsia="Times New Roman" w:cstheme="minorHAnsi"/>
          <w:sz w:val="24"/>
          <w:szCs w:val="24"/>
          <w:lang w:eastAsia="it-IT"/>
        </w:rPr>
        <w:t>altre.</w:t>
      </w:r>
    </w:p>
    <w:p w14:paraId="7AB79AD7" w14:textId="4060A216" w:rsidR="00C405C3" w:rsidRPr="00C405C3" w:rsidRDefault="00F2213A" w:rsidP="005411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D2779">
        <w:rPr>
          <w:rFonts w:eastAsia="Times New Roman" w:cstheme="minorHAnsi"/>
          <w:sz w:val="24"/>
          <w:szCs w:val="24"/>
          <w:lang w:eastAsia="it-IT"/>
        </w:rPr>
        <w:t>I</w:t>
      </w:r>
      <w:r w:rsidR="00C405C3" w:rsidRPr="00C405C3">
        <w:rPr>
          <w:rFonts w:eastAsia="Times New Roman" w:cstheme="minorHAnsi"/>
          <w:sz w:val="24"/>
          <w:szCs w:val="24"/>
          <w:lang w:eastAsia="it-IT"/>
        </w:rPr>
        <w:t>noltre:</w:t>
      </w:r>
    </w:p>
    <w:p w14:paraId="70BC1793" w14:textId="77777777" w:rsidR="00C405C3" w:rsidRPr="00C405C3" w:rsidRDefault="00C405C3" w:rsidP="0054117B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it-IT"/>
        </w:rPr>
      </w:pPr>
      <w:r w:rsidRPr="00C405C3">
        <w:rPr>
          <w:rFonts w:eastAsia="Times New Roman" w:cstheme="minorHAnsi"/>
          <w:sz w:val="24"/>
          <w:szCs w:val="24"/>
          <w:lang w:eastAsia="it-IT"/>
        </w:rPr>
        <w:t>non si accenna alle proroghe dell’organico straordinario (cosiddetto Covid) che ha scadenza di contratto al termine delle lezioni</w:t>
      </w:r>
    </w:p>
    <w:p w14:paraId="7AE14AC6" w14:textId="77777777" w:rsidR="00C405C3" w:rsidRPr="00C405C3" w:rsidRDefault="00C405C3" w:rsidP="0054117B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it-IT"/>
        </w:rPr>
      </w:pPr>
      <w:r w:rsidRPr="00C405C3">
        <w:rPr>
          <w:rFonts w:eastAsia="Times New Roman" w:cstheme="minorHAnsi"/>
          <w:sz w:val="24"/>
          <w:szCs w:val="24"/>
          <w:lang w:eastAsia="it-IT"/>
        </w:rPr>
        <w:t>non si riprende la discussione per le procedure semplificate per il concorso del personale assistente amministrativo facente funzione DSGA.</w:t>
      </w:r>
    </w:p>
    <w:p w14:paraId="2FFE8F2F" w14:textId="207C4E71" w:rsidR="00C405C3" w:rsidRPr="004D2779" w:rsidRDefault="00C405C3" w:rsidP="0018719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405C3">
        <w:rPr>
          <w:rFonts w:eastAsia="Times New Roman" w:cstheme="minorHAnsi"/>
          <w:sz w:val="24"/>
          <w:szCs w:val="24"/>
          <w:lang w:eastAsia="it-IT"/>
        </w:rPr>
        <w:t xml:space="preserve">Il testo è, dunque, lacunoso ed insoddisfacente e per questo </w:t>
      </w:r>
      <w:r w:rsidR="00F2213A" w:rsidRPr="004D2779">
        <w:rPr>
          <w:rFonts w:eastAsia="Times New Roman" w:cstheme="minorHAnsi"/>
          <w:sz w:val="24"/>
          <w:szCs w:val="24"/>
          <w:lang w:eastAsia="it-IT"/>
        </w:rPr>
        <w:t xml:space="preserve">le Organizzazioni Sindacali hanno chiesto </w:t>
      </w:r>
      <w:r w:rsidRPr="00C405C3">
        <w:rPr>
          <w:rFonts w:eastAsia="Times New Roman" w:cstheme="minorHAnsi"/>
          <w:sz w:val="24"/>
          <w:szCs w:val="24"/>
          <w:lang w:eastAsia="it-IT"/>
        </w:rPr>
        <w:t>interventi emendativi da consegnare alla discussione in Parlamento per far sì che i provvedimenti enunciati nel DL Sostegni bis non solo siano effettivamente allineati e coerenti con il “Patto per la Scuola”, ma soprattutto siano rispettosi delle prerogative sindacali, evitando interventi non necessari di manomissione dei contratti nazionali.</w:t>
      </w:r>
    </w:p>
    <w:p w14:paraId="0CBD5B47" w14:textId="19514001" w:rsidR="00F2213A" w:rsidRPr="004D2779" w:rsidRDefault="00F2213A" w:rsidP="001871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2779">
        <w:rPr>
          <w:rFonts w:cstheme="minorHAnsi"/>
          <w:sz w:val="24"/>
          <w:szCs w:val="24"/>
        </w:rPr>
        <w:t>Il Patto per la Scuola riconosce l’impegno profuso da tutto il personale durante la pandemia.</w:t>
      </w:r>
    </w:p>
    <w:p w14:paraId="305C4B3B" w14:textId="0C9BD01D" w:rsidR="00F2213A" w:rsidRPr="004D2779" w:rsidRDefault="00F2213A" w:rsidP="001871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2779">
        <w:rPr>
          <w:rFonts w:cstheme="minorHAnsi"/>
          <w:sz w:val="24"/>
          <w:szCs w:val="24"/>
        </w:rPr>
        <w:t>Ora questo riconoscimento va concretizzato e tradotto in misure e interventi che assicurino stabilità e continuità al lavoro e il regolare avvio dell’anno scolastico il primo settembre.</w:t>
      </w:r>
    </w:p>
    <w:p w14:paraId="5FBC4D65" w14:textId="159E1C34" w:rsidR="00C405C3" w:rsidRDefault="00F2213A" w:rsidP="001871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2779">
        <w:rPr>
          <w:rFonts w:cstheme="minorHAnsi"/>
          <w:sz w:val="24"/>
          <w:szCs w:val="24"/>
        </w:rPr>
        <w:t>Chiediamo alle forze politiche di impegnarsi a cambiare il provvedimento durante l’iter di conversione in legge.</w:t>
      </w:r>
    </w:p>
    <w:p w14:paraId="6DACA92A" w14:textId="77777777" w:rsidR="004D2779" w:rsidRDefault="004D2779" w:rsidP="001871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10631" w:type="dxa"/>
        <w:jc w:val="center"/>
        <w:tblLook w:val="04A0" w:firstRow="1" w:lastRow="0" w:firstColumn="1" w:lastColumn="0" w:noHBand="0" w:noVBand="1"/>
      </w:tblPr>
      <w:tblGrid>
        <w:gridCol w:w="2126"/>
        <w:gridCol w:w="1843"/>
        <w:gridCol w:w="1984"/>
        <w:gridCol w:w="2268"/>
        <w:gridCol w:w="2410"/>
      </w:tblGrid>
      <w:tr w:rsidR="004D2779" w:rsidRPr="00061359" w14:paraId="6B580A01" w14:textId="6EAFBF67" w:rsidTr="004D2779">
        <w:trPr>
          <w:trHeight w:val="340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30FE2219" w14:textId="77777777" w:rsidR="004D2779" w:rsidRPr="00061359" w:rsidRDefault="004D2779" w:rsidP="004D2779">
            <w:pPr>
              <w:jc w:val="center"/>
              <w:rPr>
                <w:rFonts w:ascii="Arial" w:hAnsi="Arial" w:cs="Arial"/>
                <w:b/>
              </w:rPr>
            </w:pPr>
            <w:r w:rsidRPr="00061359">
              <w:rPr>
                <w:rFonts w:ascii="Arial" w:hAnsi="Arial" w:cs="Arial"/>
                <w:b/>
              </w:rPr>
              <w:t>FLC CGIL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6EF2D9" w14:textId="77777777" w:rsidR="004D2779" w:rsidRPr="00061359" w:rsidRDefault="004D2779" w:rsidP="004D2779">
            <w:pPr>
              <w:jc w:val="center"/>
              <w:rPr>
                <w:rFonts w:ascii="Arial" w:hAnsi="Arial" w:cs="Arial"/>
                <w:b/>
              </w:rPr>
            </w:pPr>
            <w:r w:rsidRPr="00061359">
              <w:rPr>
                <w:rFonts w:ascii="Arial" w:hAnsi="Arial" w:cs="Arial"/>
                <w:b/>
              </w:rPr>
              <w:t>CISL SCUOLA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673989" w14:textId="77777777" w:rsidR="004D2779" w:rsidRPr="00061359" w:rsidRDefault="004D2779" w:rsidP="004D2779">
            <w:pPr>
              <w:jc w:val="center"/>
              <w:rPr>
                <w:rFonts w:ascii="Arial" w:hAnsi="Arial" w:cs="Arial"/>
                <w:b/>
              </w:rPr>
            </w:pPr>
            <w:r w:rsidRPr="00061359">
              <w:rPr>
                <w:rFonts w:ascii="Arial" w:hAnsi="Arial" w:cs="Arial"/>
                <w:b/>
              </w:rPr>
              <w:t>UIL SCUOLA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171A48" w14:textId="77777777" w:rsidR="004D2779" w:rsidRPr="00061359" w:rsidRDefault="004D2779" w:rsidP="004D2779">
            <w:pPr>
              <w:jc w:val="center"/>
              <w:rPr>
                <w:rFonts w:ascii="Arial" w:hAnsi="Arial" w:cs="Arial"/>
                <w:b/>
              </w:rPr>
            </w:pPr>
            <w:r w:rsidRPr="00061359">
              <w:rPr>
                <w:rFonts w:ascii="Arial" w:hAnsi="Arial" w:cs="Arial"/>
                <w:b/>
              </w:rPr>
              <w:t>SNALS/CONFSAL</w:t>
            </w:r>
          </w:p>
        </w:tc>
        <w:tc>
          <w:tcPr>
            <w:tcW w:w="2410" w:type="dxa"/>
            <w:vAlign w:val="center"/>
          </w:tcPr>
          <w:p w14:paraId="674EBFF6" w14:textId="5CC3F133" w:rsidR="004D2779" w:rsidRPr="00061359" w:rsidRDefault="004D2779" w:rsidP="004D2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ANIEF</w:t>
            </w:r>
          </w:p>
        </w:tc>
      </w:tr>
      <w:tr w:rsidR="004D2779" w:rsidRPr="00061359" w14:paraId="67106574" w14:textId="53272FC9" w:rsidTr="004D2779">
        <w:trPr>
          <w:trHeight w:val="340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2B84BE01" w14:textId="77777777" w:rsidR="004D2779" w:rsidRPr="00061359" w:rsidRDefault="004D2779" w:rsidP="00245988">
            <w:pPr>
              <w:jc w:val="center"/>
              <w:rPr>
                <w:rFonts w:ascii="Arial" w:hAnsi="Arial" w:cs="Arial"/>
                <w:b/>
              </w:rPr>
            </w:pPr>
            <w:r w:rsidRPr="00061359">
              <w:rPr>
                <w:rFonts w:ascii="Arial" w:hAnsi="Arial" w:cs="Arial"/>
              </w:rPr>
              <w:t>Giuseppe Miccichè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79E6BC" w14:textId="77777777" w:rsidR="004D2779" w:rsidRPr="00061359" w:rsidRDefault="004D2779" w:rsidP="00245988">
            <w:pPr>
              <w:jc w:val="center"/>
              <w:rPr>
                <w:rFonts w:ascii="Arial" w:hAnsi="Arial" w:cs="Arial"/>
                <w:b/>
              </w:rPr>
            </w:pPr>
            <w:r w:rsidRPr="00061359">
              <w:rPr>
                <w:rFonts w:ascii="Arial" w:hAnsi="Arial" w:cs="Arial"/>
              </w:rPr>
              <w:t>Fabio Russo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9580E1" w14:textId="77777777" w:rsidR="004D2779" w:rsidRPr="00061359" w:rsidRDefault="004D2779" w:rsidP="00245988">
            <w:pPr>
              <w:jc w:val="center"/>
              <w:rPr>
                <w:rFonts w:ascii="Arial" w:hAnsi="Arial" w:cs="Arial"/>
                <w:b/>
              </w:rPr>
            </w:pPr>
            <w:r w:rsidRPr="00061359">
              <w:rPr>
                <w:rFonts w:ascii="Arial" w:hAnsi="Arial" w:cs="Arial"/>
              </w:rPr>
              <w:t xml:space="preserve">Michele </w:t>
            </w:r>
            <w:proofErr w:type="spellStart"/>
            <w:r w:rsidRPr="00061359">
              <w:rPr>
                <w:rFonts w:ascii="Arial" w:hAnsi="Arial" w:cs="Arial"/>
              </w:rPr>
              <w:t>Sollami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37E15A0" w14:textId="77777777" w:rsidR="004D2779" w:rsidRPr="00061359" w:rsidRDefault="004D2779" w:rsidP="00245988">
            <w:pPr>
              <w:jc w:val="center"/>
              <w:rPr>
                <w:rFonts w:ascii="Arial" w:hAnsi="Arial" w:cs="Arial"/>
                <w:b/>
              </w:rPr>
            </w:pPr>
            <w:r w:rsidRPr="00061359">
              <w:rPr>
                <w:rFonts w:ascii="Arial" w:hAnsi="Arial" w:cs="Arial"/>
              </w:rPr>
              <w:t>Tiziana Mercato</w:t>
            </w:r>
          </w:p>
        </w:tc>
        <w:tc>
          <w:tcPr>
            <w:tcW w:w="2410" w:type="dxa"/>
          </w:tcPr>
          <w:p w14:paraId="21610FAF" w14:textId="33DB6003" w:rsidR="004D2779" w:rsidRPr="00061359" w:rsidRDefault="004D2779" w:rsidP="00245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Dario Tumminelli</w:t>
            </w:r>
          </w:p>
        </w:tc>
      </w:tr>
    </w:tbl>
    <w:p w14:paraId="2E78DF33" w14:textId="77777777" w:rsidR="004D2779" w:rsidRPr="004D2779" w:rsidRDefault="004D2779" w:rsidP="001871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D2779" w:rsidRPr="004D2779" w:rsidSect="004D2779">
      <w:headerReference w:type="default" r:id="rId7"/>
      <w:pgSz w:w="11906" w:h="16838"/>
      <w:pgMar w:top="1418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4FFA" w14:textId="77777777" w:rsidR="005C427A" w:rsidRDefault="005C427A" w:rsidP="004D2779">
      <w:pPr>
        <w:spacing w:after="0" w:line="240" w:lineRule="auto"/>
      </w:pPr>
      <w:r>
        <w:separator/>
      </w:r>
    </w:p>
  </w:endnote>
  <w:endnote w:type="continuationSeparator" w:id="0">
    <w:p w14:paraId="3C2936E5" w14:textId="77777777" w:rsidR="005C427A" w:rsidRDefault="005C427A" w:rsidP="004D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2291D" w14:textId="77777777" w:rsidR="005C427A" w:rsidRDefault="005C427A" w:rsidP="004D2779">
      <w:pPr>
        <w:spacing w:after="0" w:line="240" w:lineRule="auto"/>
      </w:pPr>
      <w:r>
        <w:separator/>
      </w:r>
    </w:p>
  </w:footnote>
  <w:footnote w:type="continuationSeparator" w:id="0">
    <w:p w14:paraId="74F862E3" w14:textId="77777777" w:rsidR="005C427A" w:rsidRDefault="005C427A" w:rsidP="004D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2066"/>
      <w:gridCol w:w="2045"/>
      <w:gridCol w:w="1984"/>
      <w:gridCol w:w="1843"/>
    </w:tblGrid>
    <w:tr w:rsidR="004D2779" w14:paraId="532D1BC1" w14:textId="6F159DAE" w:rsidTr="004D2779">
      <w:trPr>
        <w:trHeight w:val="971"/>
        <w:jc w:val="center"/>
      </w:trPr>
      <w:tc>
        <w:tcPr>
          <w:tcW w:w="2552" w:type="dxa"/>
          <w:shd w:val="clear" w:color="auto" w:fill="auto"/>
          <w:vAlign w:val="center"/>
        </w:tcPr>
        <w:p w14:paraId="4A8DFEDF" w14:textId="561128CF" w:rsidR="004D2779" w:rsidRPr="009C4612" w:rsidRDefault="004D2779" w:rsidP="004D2779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8732279" wp14:editId="3DBEE81C">
                <wp:extent cx="1484812" cy="472440"/>
                <wp:effectExtent l="0" t="0" r="0" b="3810"/>
                <wp:docPr id="245" name="Immagine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75" t="21349" b="207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581" cy="47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6" w:type="dxa"/>
          <w:shd w:val="clear" w:color="auto" w:fill="auto"/>
          <w:vAlign w:val="center"/>
        </w:tcPr>
        <w:p w14:paraId="447782AF" w14:textId="58424F86" w:rsidR="004D2779" w:rsidRPr="009C4612" w:rsidRDefault="004D2779" w:rsidP="004D2779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3FE581F" wp14:editId="2407BF4A">
                <wp:extent cx="1219200" cy="548640"/>
                <wp:effectExtent l="0" t="0" r="0" b="3810"/>
                <wp:docPr id="246" name="Immagin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5" w:type="dxa"/>
          <w:shd w:val="clear" w:color="auto" w:fill="auto"/>
          <w:vAlign w:val="center"/>
        </w:tcPr>
        <w:p w14:paraId="37DD4CF7" w14:textId="117EA9DC" w:rsidR="004D2779" w:rsidRPr="009C4612" w:rsidRDefault="004D2779" w:rsidP="004D2779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F8760C6" wp14:editId="6EA02A2B">
                <wp:extent cx="1280160" cy="556260"/>
                <wp:effectExtent l="0" t="0" r="0" b="0"/>
                <wp:docPr id="247" name="Immagine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37" t="161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  <w:vAlign w:val="center"/>
        </w:tcPr>
        <w:p w14:paraId="3FDE6DF5" w14:textId="6F51B078" w:rsidR="004D2779" w:rsidRPr="009C4612" w:rsidRDefault="004D2779" w:rsidP="004D2779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79858A9" wp14:editId="7739612B">
                <wp:extent cx="1112520" cy="624840"/>
                <wp:effectExtent l="0" t="0" r="0" b="3810"/>
                <wp:docPr id="248" name="Immagine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2B4EFDEB" w14:textId="0E8D5977" w:rsidR="004D2779" w:rsidRDefault="001C150B" w:rsidP="004D2779">
          <w:pPr>
            <w:pStyle w:val="Intestazione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5E1B73BE" wp14:editId="36C3BF44">
                <wp:extent cx="1033145" cy="391795"/>
                <wp:effectExtent l="0" t="0" r="0" b="8255"/>
                <wp:docPr id="250" name="Immagine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4ECB8E" w14:textId="77777777" w:rsidR="004D2779" w:rsidRDefault="004D27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66F6"/>
    <w:multiLevelType w:val="multilevel"/>
    <w:tmpl w:val="58DA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5"/>
    <w:rsid w:val="00185000"/>
    <w:rsid w:val="0018719A"/>
    <w:rsid w:val="001C150B"/>
    <w:rsid w:val="00285423"/>
    <w:rsid w:val="004B1B77"/>
    <w:rsid w:val="004D2779"/>
    <w:rsid w:val="0054117B"/>
    <w:rsid w:val="005C427A"/>
    <w:rsid w:val="00943EC6"/>
    <w:rsid w:val="00B07402"/>
    <w:rsid w:val="00C405C3"/>
    <w:rsid w:val="00CE18F5"/>
    <w:rsid w:val="00DC00F9"/>
    <w:rsid w:val="00F2213A"/>
    <w:rsid w:val="00F7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BCF1E"/>
  <w15:chartTrackingRefBased/>
  <w15:docId w15:val="{EA906F1E-05EC-4F3F-9BFC-064207DA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07402"/>
    <w:rPr>
      <w:b/>
      <w:bCs/>
    </w:rPr>
  </w:style>
  <w:style w:type="character" w:customStyle="1" w:styleId="markedcontent">
    <w:name w:val="markedcontent"/>
    <w:basedOn w:val="Carpredefinitoparagrafo"/>
    <w:rsid w:val="00185000"/>
  </w:style>
  <w:style w:type="paragraph" w:styleId="NormaleWeb">
    <w:name w:val="Normal (Web)"/>
    <w:basedOn w:val="Normale"/>
    <w:uiPriority w:val="99"/>
    <w:semiHidden/>
    <w:unhideWhenUsed/>
    <w:rsid w:val="00C4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405C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D27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2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779"/>
  </w:style>
  <w:style w:type="paragraph" w:styleId="Pidipagina">
    <w:name w:val="footer"/>
    <w:basedOn w:val="Normale"/>
    <w:link w:val="PidipaginaCarattere"/>
    <w:uiPriority w:val="99"/>
    <w:unhideWhenUsed/>
    <w:rsid w:val="004D2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Miccichè</dc:creator>
  <cp:keywords/>
  <dc:description/>
  <cp:lastModifiedBy>MICHELE</cp:lastModifiedBy>
  <cp:revision>2</cp:revision>
  <cp:lastPrinted>2021-06-08T09:37:00Z</cp:lastPrinted>
  <dcterms:created xsi:type="dcterms:W3CDTF">2021-06-08T14:16:00Z</dcterms:created>
  <dcterms:modified xsi:type="dcterms:W3CDTF">2021-06-08T14:16:00Z</dcterms:modified>
</cp:coreProperties>
</file>